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3D7" w:rsidRPr="00CB0D62" w:rsidRDefault="006153D7" w:rsidP="00CB0D62">
      <w:pPr>
        <w:spacing w:after="0" w:line="240" w:lineRule="auto"/>
        <w:jc w:val="center"/>
        <w:rPr>
          <w:rFonts w:ascii="Times New Roman" w:hAnsi="Times New Roman" w:cs="Times New Roman"/>
          <w:b/>
          <w:sz w:val="28"/>
          <w:szCs w:val="28"/>
          <w:lang w:val="en-US"/>
        </w:rPr>
      </w:pPr>
      <w:r w:rsidRPr="00CB0D62">
        <w:rPr>
          <w:rFonts w:ascii="Times New Roman" w:hAnsi="Times New Roman" w:cs="Times New Roman"/>
          <w:b/>
          <w:sz w:val="28"/>
          <w:szCs w:val="28"/>
          <w:lang w:val="en-US"/>
        </w:rPr>
        <w:t>ATI Working Group</w:t>
      </w:r>
    </w:p>
    <w:p w:rsidR="00EA3937" w:rsidRDefault="00EA3937" w:rsidP="00CB0D62">
      <w:pPr>
        <w:spacing w:after="0" w:line="240" w:lineRule="auto"/>
        <w:jc w:val="center"/>
        <w:rPr>
          <w:rFonts w:ascii="Times New Roman" w:hAnsi="Times New Roman" w:cs="Times New Roman"/>
          <w:b/>
          <w:sz w:val="28"/>
          <w:szCs w:val="28"/>
          <w:lang w:val="en-US"/>
        </w:rPr>
      </w:pPr>
      <w:r w:rsidRPr="00CB0D62">
        <w:rPr>
          <w:rFonts w:ascii="Times New Roman" w:hAnsi="Times New Roman" w:cs="Times New Roman"/>
          <w:b/>
          <w:sz w:val="28"/>
          <w:szCs w:val="28"/>
          <w:lang w:val="en-US"/>
        </w:rPr>
        <w:t>2015 Report</w:t>
      </w:r>
    </w:p>
    <w:p w:rsidR="00CB0D62" w:rsidRPr="00CB0D62" w:rsidRDefault="00CB0D62" w:rsidP="00CB0D62">
      <w:pPr>
        <w:spacing w:after="0" w:line="240" w:lineRule="auto"/>
        <w:jc w:val="center"/>
        <w:rPr>
          <w:rFonts w:ascii="Times New Roman" w:hAnsi="Times New Roman" w:cs="Times New Roman"/>
          <w:b/>
          <w:sz w:val="28"/>
          <w:szCs w:val="28"/>
          <w:lang w:val="en-US"/>
        </w:rPr>
      </w:pPr>
    </w:p>
    <w:p w:rsidR="005D1747" w:rsidRDefault="00EA3937" w:rsidP="005D1747">
      <w:pPr>
        <w:pStyle w:val="Default"/>
        <w:rPr>
          <w:rFonts w:ascii="Times New Roman" w:hAnsi="Times New Roman" w:cs="Times New Roman"/>
        </w:rPr>
      </w:pPr>
      <w:r w:rsidRPr="00EA3937">
        <w:rPr>
          <w:rFonts w:ascii="Times New Roman" w:hAnsi="Times New Roman" w:cs="Times New Roman"/>
        </w:rPr>
        <w:t xml:space="preserve">The main </w:t>
      </w:r>
      <w:r>
        <w:rPr>
          <w:rFonts w:ascii="Times New Roman" w:hAnsi="Times New Roman" w:cs="Times New Roman"/>
        </w:rPr>
        <w:t>goals</w:t>
      </w:r>
      <w:r w:rsidRPr="00EA3937">
        <w:rPr>
          <w:rFonts w:ascii="Times New Roman" w:hAnsi="Times New Roman" w:cs="Times New Roman"/>
        </w:rPr>
        <w:t xml:space="preserve"> of the Access to Information Working Group (ATI WG)</w:t>
      </w:r>
      <w:r>
        <w:rPr>
          <w:rFonts w:ascii="Times New Roman" w:hAnsi="Times New Roman" w:cs="Times New Roman"/>
        </w:rPr>
        <w:t xml:space="preserve"> are to serve as a resource for governments as they develop and fulfill ambitious access to information commitments and to support the participation of key stakeholder in the OGP ATI dialogue.</w:t>
      </w:r>
      <w:r w:rsidR="005D1747">
        <w:rPr>
          <w:rFonts w:ascii="Times New Roman" w:hAnsi="Times New Roman" w:cs="Times New Roman"/>
        </w:rPr>
        <w:t xml:space="preserve">  The OGP ATI WG seeks to </w:t>
      </w:r>
      <w:r w:rsidR="005D1747" w:rsidRPr="005D1747">
        <w:rPr>
          <w:rFonts w:ascii="Times New Roman" w:hAnsi="Times New Roman" w:cs="Times New Roman"/>
        </w:rPr>
        <w:t xml:space="preserve">encourage best practices </w:t>
      </w:r>
      <w:r w:rsidR="005D1747">
        <w:rPr>
          <w:rFonts w:ascii="Times New Roman" w:hAnsi="Times New Roman" w:cs="Times New Roman"/>
        </w:rPr>
        <w:t>related to access to information and to</w:t>
      </w:r>
      <w:r w:rsidR="005D1747" w:rsidRPr="005D1747">
        <w:rPr>
          <w:rFonts w:ascii="Times New Roman" w:hAnsi="Times New Roman" w:cs="Times New Roman"/>
        </w:rPr>
        <w:t xml:space="preserve"> promote the right of access to information as a catalyst for generating useful public knowledge, contributing to building more open institutions and accountability. </w:t>
      </w:r>
    </w:p>
    <w:p w:rsidR="00C77847" w:rsidRDefault="00C77847" w:rsidP="005D1747">
      <w:pPr>
        <w:pStyle w:val="Default"/>
        <w:rPr>
          <w:rFonts w:ascii="Times New Roman" w:hAnsi="Times New Roman" w:cs="Times New Roman"/>
        </w:rPr>
      </w:pPr>
    </w:p>
    <w:p w:rsidR="00C77847" w:rsidRPr="005D1747" w:rsidRDefault="00E17B17" w:rsidP="005D1747">
      <w:pPr>
        <w:pStyle w:val="Default"/>
        <w:rPr>
          <w:rFonts w:ascii="Times New Roman" w:hAnsi="Times New Roman" w:cs="Times New Roman"/>
        </w:rPr>
      </w:pPr>
      <w:r>
        <w:rPr>
          <w:rFonts w:ascii="Times New Roman" w:hAnsi="Times New Roman" w:cs="Times New Roman"/>
        </w:rPr>
        <w:t>The deliverables and activities for 2015 represented a comprehensive and bold plan for advancing the right of access to information in the OGP agenda and with interested OGP countries. Represented below are the key areas defined for action in 2015 and the main efforts engaged to fulfill the plan.</w:t>
      </w:r>
    </w:p>
    <w:p w:rsidR="00EE5781" w:rsidRDefault="00EE5781" w:rsidP="00EE5781">
      <w:pPr>
        <w:pStyle w:val="Default"/>
      </w:pPr>
    </w:p>
    <w:p w:rsidR="00F24072" w:rsidRPr="00F24072" w:rsidRDefault="00EE5781" w:rsidP="00EE5781">
      <w:pPr>
        <w:pStyle w:val="Default"/>
        <w:numPr>
          <w:ilvl w:val="0"/>
          <w:numId w:val="16"/>
        </w:numPr>
        <w:rPr>
          <w:rFonts w:ascii="Times New Roman" w:hAnsi="Times New Roman" w:cs="Times New Roman"/>
          <w:b/>
        </w:rPr>
      </w:pPr>
      <w:r w:rsidRPr="000E7884">
        <w:rPr>
          <w:rFonts w:ascii="Times New Roman" w:hAnsi="Times New Roman" w:cs="Times New Roman"/>
          <w:b/>
          <w:bCs/>
        </w:rPr>
        <w:t>Review new draft commitments related to access to information and support in formulating action plans</w:t>
      </w:r>
      <w:r w:rsidR="00F24072">
        <w:rPr>
          <w:rFonts w:ascii="Times New Roman" w:hAnsi="Times New Roman" w:cs="Times New Roman"/>
          <w:b/>
          <w:bCs/>
        </w:rPr>
        <w:t>:</w:t>
      </w:r>
    </w:p>
    <w:p w:rsidR="00EE5781" w:rsidRPr="000E7884" w:rsidRDefault="00EE5781" w:rsidP="00F24072">
      <w:pPr>
        <w:pStyle w:val="Default"/>
        <w:ind w:left="720"/>
        <w:rPr>
          <w:rFonts w:ascii="Times New Roman" w:hAnsi="Times New Roman" w:cs="Times New Roman"/>
          <w:b/>
        </w:rPr>
      </w:pPr>
      <w:r w:rsidRPr="000E7884">
        <w:rPr>
          <w:rFonts w:ascii="Times New Roman" w:hAnsi="Times New Roman" w:cs="Times New Roman"/>
          <w:b/>
          <w:bCs/>
        </w:rPr>
        <w:t xml:space="preserve"> </w:t>
      </w:r>
    </w:p>
    <w:p w:rsidR="001B0C88" w:rsidRDefault="001B0C88" w:rsidP="00F24072">
      <w:pPr>
        <w:pStyle w:val="Default"/>
        <w:numPr>
          <w:ilvl w:val="0"/>
          <w:numId w:val="17"/>
        </w:numPr>
        <w:rPr>
          <w:rFonts w:ascii="Times New Roman" w:hAnsi="Times New Roman" w:cs="Times New Roman"/>
        </w:rPr>
      </w:pPr>
      <w:r>
        <w:rPr>
          <w:rFonts w:ascii="Times New Roman" w:hAnsi="Times New Roman" w:cs="Times New Roman"/>
        </w:rPr>
        <w:t>With assistance from the OGP Support Unit, we reached out to POCs to provide more information about the ATI WG and to encourage them to contact the group as they were developing their commitments.</w:t>
      </w:r>
    </w:p>
    <w:p w:rsidR="00F24072" w:rsidRPr="001B0C88" w:rsidRDefault="00F24072" w:rsidP="00F24072">
      <w:pPr>
        <w:pStyle w:val="Default"/>
        <w:ind w:left="720"/>
        <w:rPr>
          <w:rFonts w:ascii="Times New Roman" w:hAnsi="Times New Roman" w:cs="Times New Roman"/>
        </w:rPr>
      </w:pPr>
    </w:p>
    <w:p w:rsidR="00EE5781" w:rsidRPr="001B0C88" w:rsidRDefault="001B0C88" w:rsidP="00F24072">
      <w:pPr>
        <w:pStyle w:val="Default"/>
        <w:numPr>
          <w:ilvl w:val="0"/>
          <w:numId w:val="17"/>
        </w:numPr>
        <w:rPr>
          <w:rFonts w:ascii="Times New Roman" w:hAnsi="Times New Roman" w:cs="Times New Roman"/>
        </w:rPr>
      </w:pPr>
      <w:r>
        <w:rPr>
          <w:rFonts w:ascii="Times New Roman" w:hAnsi="Times New Roman" w:cs="Times New Roman"/>
          <w:bCs/>
        </w:rPr>
        <w:t>T</w:t>
      </w:r>
      <w:r w:rsidR="00EE5781">
        <w:rPr>
          <w:rFonts w:ascii="Times New Roman" w:hAnsi="Times New Roman" w:cs="Times New Roman"/>
          <w:bCs/>
        </w:rPr>
        <w:t xml:space="preserve">he Government of Liberia </w:t>
      </w:r>
      <w:r>
        <w:rPr>
          <w:rFonts w:ascii="Times New Roman" w:hAnsi="Times New Roman" w:cs="Times New Roman"/>
          <w:bCs/>
        </w:rPr>
        <w:t>contacted</w:t>
      </w:r>
      <w:r w:rsidR="00EE5781">
        <w:rPr>
          <w:rFonts w:ascii="Times New Roman" w:hAnsi="Times New Roman" w:cs="Times New Roman"/>
          <w:bCs/>
        </w:rPr>
        <w:t xml:space="preserve"> the OGP ATI WG for support.  The WG reviewed the draft commitments being considered and provided written feedback to the POC, which was shared with the larger committee.</w:t>
      </w:r>
    </w:p>
    <w:p w:rsidR="00F24072" w:rsidRDefault="00F24072" w:rsidP="00F24072">
      <w:pPr>
        <w:pStyle w:val="Default"/>
        <w:rPr>
          <w:rFonts w:ascii="Times New Roman" w:hAnsi="Times New Roman" w:cs="Times New Roman"/>
          <w:bCs/>
        </w:rPr>
      </w:pPr>
    </w:p>
    <w:p w:rsidR="001B0C88" w:rsidRPr="00462F87" w:rsidRDefault="001B0C88" w:rsidP="00F24072">
      <w:pPr>
        <w:pStyle w:val="Default"/>
        <w:numPr>
          <w:ilvl w:val="0"/>
          <w:numId w:val="17"/>
        </w:numPr>
        <w:rPr>
          <w:rFonts w:ascii="Times New Roman" w:hAnsi="Times New Roman" w:cs="Times New Roman"/>
        </w:rPr>
      </w:pPr>
      <w:r>
        <w:rPr>
          <w:rFonts w:ascii="Times New Roman" w:hAnsi="Times New Roman" w:cs="Times New Roman"/>
          <w:bCs/>
        </w:rPr>
        <w:t>Similarly, the ATI WG received questions from Sierra Leone POC and provided guidance related to their commitments</w:t>
      </w:r>
      <w:r w:rsidR="0072126A">
        <w:rPr>
          <w:rFonts w:ascii="Times New Roman" w:hAnsi="Times New Roman" w:cs="Times New Roman"/>
          <w:bCs/>
        </w:rPr>
        <w:t>, as well as meeting with one of the key implementers to discuss each of the ATI commitments and ideas for advancement</w:t>
      </w:r>
      <w:r>
        <w:rPr>
          <w:rFonts w:ascii="Times New Roman" w:hAnsi="Times New Roman" w:cs="Times New Roman"/>
          <w:bCs/>
        </w:rPr>
        <w:t>.</w:t>
      </w:r>
    </w:p>
    <w:p w:rsidR="00F24072" w:rsidRDefault="00F24072" w:rsidP="00F24072">
      <w:pPr>
        <w:pStyle w:val="Default"/>
        <w:rPr>
          <w:rFonts w:ascii="Times New Roman" w:hAnsi="Times New Roman" w:cs="Times New Roman"/>
          <w:bCs/>
        </w:rPr>
      </w:pPr>
    </w:p>
    <w:p w:rsidR="00462F87" w:rsidRPr="000E7884" w:rsidRDefault="00462F87" w:rsidP="00F24072">
      <w:pPr>
        <w:pStyle w:val="Default"/>
        <w:numPr>
          <w:ilvl w:val="0"/>
          <w:numId w:val="17"/>
        </w:numPr>
        <w:rPr>
          <w:rFonts w:ascii="Times New Roman" w:hAnsi="Times New Roman" w:cs="Times New Roman"/>
        </w:rPr>
      </w:pPr>
      <w:r>
        <w:rPr>
          <w:rFonts w:ascii="Times New Roman" w:hAnsi="Times New Roman" w:cs="Times New Roman"/>
          <w:bCs/>
        </w:rPr>
        <w:t>During the Mexico Summit, the ATI WG participated in a special session for POCs.  This included meeting individually with interested government representatives and POCs to discuss their specific ATI commitments and provide ideas for strengthening the commitments in their coming national action plans.</w:t>
      </w:r>
    </w:p>
    <w:p w:rsidR="000E7884" w:rsidRPr="00EE5781" w:rsidRDefault="000E7884" w:rsidP="000E7884">
      <w:pPr>
        <w:pStyle w:val="Default"/>
        <w:ind w:left="1440"/>
        <w:rPr>
          <w:rFonts w:ascii="Times New Roman" w:hAnsi="Times New Roman" w:cs="Times New Roman"/>
        </w:rPr>
      </w:pPr>
    </w:p>
    <w:p w:rsidR="00EE5781" w:rsidRPr="00C3298F" w:rsidRDefault="000E7884" w:rsidP="00EE5781">
      <w:pPr>
        <w:pStyle w:val="Default"/>
        <w:numPr>
          <w:ilvl w:val="0"/>
          <w:numId w:val="16"/>
        </w:numPr>
        <w:rPr>
          <w:rFonts w:ascii="Times New Roman" w:hAnsi="Times New Roman" w:cs="Times New Roman"/>
          <w:b/>
        </w:rPr>
      </w:pPr>
      <w:r w:rsidRPr="00C3298F">
        <w:rPr>
          <w:rFonts w:ascii="Times New Roman" w:hAnsi="Times New Roman" w:cs="Times New Roman"/>
          <w:b/>
          <w:bCs/>
        </w:rPr>
        <w:t xml:space="preserve">Participate in National, Regional and International OGP Events to promote and inclusive dialogue and encourage emphasis on the role of access to information for openness, transparency and participation </w:t>
      </w:r>
    </w:p>
    <w:p w:rsidR="00C3298F" w:rsidRDefault="00C3298F" w:rsidP="00C3298F">
      <w:pPr>
        <w:pStyle w:val="Default"/>
        <w:ind w:left="720"/>
        <w:rPr>
          <w:rFonts w:ascii="Times New Roman" w:hAnsi="Times New Roman" w:cs="Times New Roman"/>
          <w:bCs/>
        </w:rPr>
      </w:pPr>
    </w:p>
    <w:p w:rsidR="0036119F" w:rsidRDefault="0036119F" w:rsidP="00FC71B0">
      <w:pPr>
        <w:pStyle w:val="ListParagraph"/>
        <w:numPr>
          <w:ilvl w:val="0"/>
          <w:numId w:val="18"/>
        </w:numPr>
        <w:spacing w:after="0" w:line="240" w:lineRule="auto"/>
        <w:jc w:val="both"/>
        <w:rPr>
          <w:rFonts w:ascii="Times New Roman" w:hAnsi="Times New Roman" w:cs="Times New Roman"/>
          <w:bCs/>
          <w:sz w:val="24"/>
          <w:szCs w:val="24"/>
          <w:lang w:val="en-US"/>
        </w:rPr>
      </w:pPr>
      <w:r w:rsidRPr="00FC71B0">
        <w:rPr>
          <w:rFonts w:ascii="Times New Roman" w:hAnsi="Times New Roman" w:cs="Times New Roman"/>
          <w:bCs/>
          <w:sz w:val="24"/>
          <w:szCs w:val="24"/>
          <w:lang w:val="en-US"/>
        </w:rPr>
        <w:t>In collaboration with the World Bank, the ATI WG held a webinar in May, 2015 entitles "Engaging with Access to Information: The 2015 Work Plan of the OGP ATI Working Group". Co-anchors Laura Neuman and Maria Jose Montiel presented the work plan and addressed the following activities of the group. Participation was diverse with 97 people attending from 36 countries.</w:t>
      </w:r>
    </w:p>
    <w:p w:rsidR="00EB4415" w:rsidRPr="00FC71B0" w:rsidRDefault="00EB4415" w:rsidP="00EB4415">
      <w:pPr>
        <w:pStyle w:val="ListParagraph"/>
        <w:spacing w:after="0" w:line="240" w:lineRule="auto"/>
        <w:ind w:left="1068"/>
        <w:jc w:val="both"/>
        <w:rPr>
          <w:rFonts w:ascii="Times New Roman" w:hAnsi="Times New Roman" w:cs="Times New Roman"/>
          <w:bCs/>
          <w:sz w:val="24"/>
          <w:szCs w:val="24"/>
          <w:lang w:val="en-US"/>
        </w:rPr>
      </w:pPr>
    </w:p>
    <w:p w:rsidR="0036119F" w:rsidRDefault="0036119F" w:rsidP="00FC71B0">
      <w:pPr>
        <w:pStyle w:val="ListParagraph"/>
        <w:numPr>
          <w:ilvl w:val="0"/>
          <w:numId w:val="18"/>
        </w:numPr>
        <w:spacing w:after="0" w:line="240" w:lineRule="auto"/>
        <w:jc w:val="both"/>
        <w:rPr>
          <w:rFonts w:ascii="Times New Roman" w:hAnsi="Times New Roman" w:cs="Times New Roman"/>
          <w:bCs/>
          <w:sz w:val="24"/>
          <w:szCs w:val="24"/>
          <w:lang w:val="en-US"/>
        </w:rPr>
      </w:pPr>
      <w:r w:rsidRPr="00FC71B0">
        <w:rPr>
          <w:rFonts w:ascii="Times New Roman" w:hAnsi="Times New Roman" w:cs="Times New Roman"/>
          <w:bCs/>
          <w:sz w:val="24"/>
          <w:szCs w:val="24"/>
          <w:lang w:val="en-US"/>
        </w:rPr>
        <w:t xml:space="preserve">Co-anchor Laura Neuman represented the ATI WG at the first meeting of European Point of Contacts held in Georgia. </w:t>
      </w:r>
      <w:r w:rsidR="001053F2" w:rsidRPr="00FC71B0">
        <w:rPr>
          <w:rFonts w:ascii="Times New Roman" w:hAnsi="Times New Roman" w:cs="Times New Roman"/>
          <w:bCs/>
          <w:sz w:val="24"/>
          <w:szCs w:val="24"/>
          <w:lang w:val="en-US"/>
        </w:rPr>
        <w:t xml:space="preserve">At the conference, she shared the goals of the working group, our interest in providing support, and facilitated a round-table related to developing and fulfilling strong ATI commitments.  </w:t>
      </w:r>
    </w:p>
    <w:p w:rsidR="00FC71B0" w:rsidRPr="00FC71B0" w:rsidRDefault="00FC71B0" w:rsidP="00FC71B0">
      <w:pPr>
        <w:pStyle w:val="ListParagraph"/>
        <w:spacing w:after="0" w:line="240" w:lineRule="auto"/>
        <w:jc w:val="both"/>
        <w:rPr>
          <w:rFonts w:ascii="Times New Roman" w:hAnsi="Times New Roman" w:cs="Times New Roman"/>
          <w:bCs/>
          <w:sz w:val="24"/>
          <w:szCs w:val="24"/>
          <w:lang w:val="en-US"/>
        </w:rPr>
      </w:pPr>
    </w:p>
    <w:p w:rsidR="00B319E9" w:rsidRDefault="009E152C" w:rsidP="00B319E9">
      <w:pPr>
        <w:pStyle w:val="ListParagraph"/>
        <w:numPr>
          <w:ilvl w:val="0"/>
          <w:numId w:val="18"/>
        </w:numPr>
        <w:spacing w:after="0" w:line="240" w:lineRule="auto"/>
        <w:jc w:val="both"/>
        <w:rPr>
          <w:rFonts w:ascii="Times New Roman" w:hAnsi="Times New Roman" w:cs="Times New Roman"/>
          <w:bCs/>
          <w:sz w:val="24"/>
          <w:szCs w:val="24"/>
          <w:lang w:val="en-US"/>
        </w:rPr>
      </w:pPr>
      <w:r w:rsidRPr="00FC71B0">
        <w:rPr>
          <w:rFonts w:ascii="Times New Roman" w:hAnsi="Times New Roman" w:cs="Times New Roman"/>
          <w:bCs/>
          <w:sz w:val="24"/>
          <w:szCs w:val="24"/>
          <w:lang w:val="en-US"/>
        </w:rPr>
        <w:t xml:space="preserve">At the annual summit in Mexico, the ATI Working Group was well represented by a number of its members. </w:t>
      </w:r>
      <w:r w:rsidR="00F46984" w:rsidRPr="00FC71B0">
        <w:rPr>
          <w:rFonts w:ascii="Times New Roman" w:hAnsi="Times New Roman" w:cs="Times New Roman"/>
          <w:bCs/>
          <w:sz w:val="24"/>
          <w:szCs w:val="24"/>
          <w:lang w:val="en-US"/>
        </w:rPr>
        <w:t>During the summit, the ATI WG sponsored a panel to present the papers of the micro-grant recipients (see below) and held a breakfast meeting of its members, including more than 30 participants</w:t>
      </w:r>
      <w:r w:rsidR="00B319E9">
        <w:rPr>
          <w:rFonts w:ascii="Times New Roman" w:hAnsi="Times New Roman" w:cs="Times New Roman"/>
          <w:bCs/>
          <w:sz w:val="24"/>
          <w:szCs w:val="24"/>
          <w:lang w:val="en-US"/>
        </w:rPr>
        <w:t>, representing</w:t>
      </w:r>
      <w:r w:rsidR="00B319E9" w:rsidRPr="00B319E9">
        <w:rPr>
          <w:rFonts w:ascii="Times New Roman" w:hAnsi="Times New Roman" w:cs="Times New Roman"/>
          <w:bCs/>
          <w:sz w:val="24"/>
          <w:szCs w:val="24"/>
          <w:lang w:val="en-US"/>
        </w:rPr>
        <w:t xml:space="preserve"> governments, academia and civil society from 20 countries</w:t>
      </w:r>
      <w:r w:rsidR="00B319E9">
        <w:rPr>
          <w:rFonts w:ascii="Times New Roman" w:hAnsi="Times New Roman" w:cs="Times New Roman"/>
          <w:bCs/>
          <w:sz w:val="24"/>
          <w:szCs w:val="24"/>
          <w:lang w:val="en-US"/>
        </w:rPr>
        <w:t>.</w:t>
      </w:r>
    </w:p>
    <w:p w:rsidR="00C3298F" w:rsidRPr="00C3298F" w:rsidRDefault="00C3298F" w:rsidP="00C3298F">
      <w:pPr>
        <w:pStyle w:val="Default"/>
        <w:ind w:left="720"/>
        <w:rPr>
          <w:rFonts w:ascii="Times New Roman" w:hAnsi="Times New Roman" w:cs="Times New Roman"/>
          <w:b/>
        </w:rPr>
      </w:pPr>
    </w:p>
    <w:p w:rsidR="00C3298F" w:rsidRPr="00F24072" w:rsidRDefault="00C3298F" w:rsidP="00EE5781">
      <w:pPr>
        <w:pStyle w:val="Default"/>
        <w:numPr>
          <w:ilvl w:val="0"/>
          <w:numId w:val="16"/>
        </w:numPr>
        <w:rPr>
          <w:rFonts w:ascii="Times New Roman" w:hAnsi="Times New Roman" w:cs="Times New Roman"/>
          <w:b/>
        </w:rPr>
      </w:pPr>
      <w:r w:rsidRPr="00C3298F">
        <w:rPr>
          <w:rFonts w:ascii="Times New Roman" w:hAnsi="Times New Roman" w:cs="Times New Roman"/>
          <w:b/>
          <w:bCs/>
        </w:rPr>
        <w:t>Encourage and Support Peer Exchanges</w:t>
      </w:r>
    </w:p>
    <w:p w:rsidR="00F24072" w:rsidRDefault="00F24072" w:rsidP="00F24072">
      <w:pPr>
        <w:pStyle w:val="Default"/>
        <w:ind w:left="720"/>
        <w:rPr>
          <w:rFonts w:ascii="Times New Roman" w:hAnsi="Times New Roman" w:cs="Times New Roman"/>
          <w:b/>
          <w:bCs/>
        </w:rPr>
      </w:pPr>
    </w:p>
    <w:p w:rsidR="00E74A07" w:rsidRPr="00CB0D62" w:rsidRDefault="00E74A07" w:rsidP="00E74A07">
      <w:pPr>
        <w:pStyle w:val="ListParagraph"/>
        <w:numPr>
          <w:ilvl w:val="0"/>
          <w:numId w:val="21"/>
        </w:numPr>
        <w:spacing w:after="0" w:line="240" w:lineRule="auto"/>
        <w:rPr>
          <w:rFonts w:ascii="Times New Roman" w:hAnsi="Times New Roman" w:cs="Times New Roman"/>
          <w:bCs/>
          <w:lang w:val="en-US"/>
        </w:rPr>
      </w:pPr>
      <w:r w:rsidRPr="00A144FF">
        <w:rPr>
          <w:rFonts w:ascii="Times New Roman" w:hAnsi="Times New Roman" w:cs="Times New Roman"/>
          <w:sz w:val="24"/>
          <w:szCs w:val="24"/>
          <w:lang w:val="en-US"/>
        </w:rPr>
        <w:t>With the organization of the OGP Support Unit, a meeting was organized between INAI co-anchors from Mexico and the Panamanian authority responsible for transparency efforts. As part of their commitments, the national transparency authority of Panama is in the process of designing and implementing an online access platform called "</w:t>
      </w:r>
      <w:proofErr w:type="spellStart"/>
      <w:r w:rsidRPr="00A144FF">
        <w:rPr>
          <w:rFonts w:ascii="Times New Roman" w:hAnsi="Times New Roman" w:cs="Times New Roman"/>
          <w:sz w:val="24"/>
          <w:szCs w:val="24"/>
          <w:lang w:val="en-US"/>
        </w:rPr>
        <w:t>Infórmate</w:t>
      </w:r>
      <w:proofErr w:type="spellEnd"/>
      <w:r w:rsidRPr="00A144FF">
        <w:rPr>
          <w:rFonts w:ascii="Times New Roman" w:hAnsi="Times New Roman" w:cs="Times New Roman"/>
          <w:sz w:val="24"/>
          <w:szCs w:val="24"/>
          <w:lang w:val="en-US"/>
        </w:rPr>
        <w:t xml:space="preserve"> Panama". INAI shared their similar experiences and provided initial ideas/guidance. </w:t>
      </w:r>
    </w:p>
    <w:p w:rsidR="00A144FF" w:rsidRPr="00CB0D62" w:rsidRDefault="00A144FF" w:rsidP="00A144FF">
      <w:pPr>
        <w:pStyle w:val="ListParagraph"/>
        <w:spacing w:after="0" w:line="240" w:lineRule="auto"/>
        <w:ind w:left="1068"/>
        <w:rPr>
          <w:rFonts w:ascii="Times New Roman" w:hAnsi="Times New Roman" w:cs="Times New Roman"/>
          <w:bCs/>
          <w:lang w:val="en-US"/>
        </w:rPr>
      </w:pPr>
    </w:p>
    <w:p w:rsidR="00F24072" w:rsidRDefault="0072126A" w:rsidP="0072126A">
      <w:pPr>
        <w:pStyle w:val="Default"/>
        <w:numPr>
          <w:ilvl w:val="0"/>
          <w:numId w:val="21"/>
        </w:numPr>
        <w:rPr>
          <w:rFonts w:ascii="Times New Roman" w:hAnsi="Times New Roman" w:cs="Times New Roman"/>
          <w:bCs/>
        </w:rPr>
      </w:pPr>
      <w:r>
        <w:rPr>
          <w:rFonts w:ascii="Times New Roman" w:hAnsi="Times New Roman" w:cs="Times New Roman"/>
          <w:bCs/>
        </w:rPr>
        <w:t xml:space="preserve">In September, 2015, the ATI WG helped sponsor the Sierra Leonean Information Commission Yeama Thompson, who is responsible for implementing a number of OGP commitments, to travel to Liberia for meetings with the Liberian POC and the Liberian Information Commissioner.  </w:t>
      </w:r>
    </w:p>
    <w:p w:rsidR="00EA5D5C" w:rsidRPr="00CB0D62" w:rsidRDefault="00EA5D5C" w:rsidP="00EA5D5C">
      <w:pPr>
        <w:pStyle w:val="ListParagraph"/>
        <w:rPr>
          <w:rFonts w:ascii="Times New Roman" w:hAnsi="Times New Roman" w:cs="Times New Roman"/>
          <w:bCs/>
          <w:lang w:val="en-US"/>
        </w:rPr>
      </w:pPr>
    </w:p>
    <w:p w:rsidR="00EB6BDE" w:rsidRPr="00EB6BDE" w:rsidRDefault="00EA5D5C" w:rsidP="00EB6BDE">
      <w:pPr>
        <w:pStyle w:val="Default"/>
        <w:numPr>
          <w:ilvl w:val="0"/>
          <w:numId w:val="21"/>
        </w:numPr>
        <w:rPr>
          <w:rFonts w:ascii="Times New Roman" w:hAnsi="Times New Roman" w:cs="Times New Roman"/>
          <w:bCs/>
        </w:rPr>
      </w:pPr>
      <w:r>
        <w:rPr>
          <w:rFonts w:ascii="Times New Roman" w:hAnsi="Times New Roman" w:cs="Times New Roman"/>
          <w:bCs/>
        </w:rPr>
        <w:t>Consistent with the new guidance from the PLS</w:t>
      </w:r>
      <w:r w:rsidR="00DC0797">
        <w:rPr>
          <w:rFonts w:ascii="Times New Roman" w:hAnsi="Times New Roman" w:cs="Times New Roman"/>
          <w:bCs/>
        </w:rPr>
        <w:t>, the ATI WG identified four countries to serve as the initial cohort of target countries as well as a number of mentors.</w:t>
      </w:r>
      <w:r w:rsidR="00EB6BDE" w:rsidRPr="00EB6BDE">
        <w:rPr>
          <w:rFonts w:ascii="Times New Roman" w:hAnsi="Times New Roman" w:cs="Times New Roman"/>
          <w:bCs/>
        </w:rPr>
        <w:t> Some of the criteria used for the selection were: expressed interest from the country; commitments related to ATI implementation; and potential for supporting one another.  After reviewing the potential countries, we selected Liberia, Sierra Leone, Guatemala and Honduras to serve as the first set of target countries.  In addition, we have reached out to potential “mentor” countries and have received agreements from Mexico, Chile, Scotland and the US to assist/mentor the target countries as they work to meet their OGP ATI commitments.</w:t>
      </w:r>
      <w:r w:rsidR="00EB6BDE">
        <w:rPr>
          <w:rFonts w:ascii="Times New Roman" w:hAnsi="Times New Roman" w:cs="Times New Roman"/>
          <w:bCs/>
        </w:rPr>
        <w:t xml:space="preserve">  An initial meeting of the cohort countries was held in October, and they immediately began sharing experiences and ideas with one another.</w:t>
      </w:r>
    </w:p>
    <w:p w:rsidR="00EA5D5C" w:rsidRDefault="00EA5D5C" w:rsidP="00EB6BDE">
      <w:pPr>
        <w:pStyle w:val="Default"/>
        <w:ind w:left="1068"/>
        <w:rPr>
          <w:rFonts w:ascii="Times New Roman" w:hAnsi="Times New Roman" w:cs="Times New Roman"/>
          <w:bCs/>
        </w:rPr>
      </w:pPr>
    </w:p>
    <w:p w:rsidR="00C3298F" w:rsidRPr="00EB4415" w:rsidRDefault="00C3298F" w:rsidP="00EE5781">
      <w:pPr>
        <w:pStyle w:val="Default"/>
        <w:numPr>
          <w:ilvl w:val="0"/>
          <w:numId w:val="16"/>
        </w:numPr>
        <w:rPr>
          <w:rFonts w:ascii="Times New Roman" w:hAnsi="Times New Roman" w:cs="Times New Roman"/>
          <w:b/>
        </w:rPr>
      </w:pPr>
      <w:r w:rsidRPr="00C3298F">
        <w:rPr>
          <w:rFonts w:ascii="Times New Roman" w:hAnsi="Times New Roman" w:cs="Times New Roman"/>
          <w:b/>
          <w:bCs/>
        </w:rPr>
        <w:t>Engage countries considering OGP membership</w:t>
      </w:r>
    </w:p>
    <w:p w:rsidR="00EB4415" w:rsidRDefault="00EB4415" w:rsidP="00EB4415">
      <w:pPr>
        <w:pStyle w:val="Default"/>
        <w:ind w:left="720"/>
        <w:rPr>
          <w:rFonts w:ascii="Times New Roman" w:hAnsi="Times New Roman" w:cs="Times New Roman"/>
          <w:b/>
          <w:bCs/>
        </w:rPr>
      </w:pPr>
    </w:p>
    <w:p w:rsidR="00EB4415" w:rsidRDefault="00EB4415" w:rsidP="00EB4415">
      <w:pPr>
        <w:pStyle w:val="Default"/>
        <w:ind w:left="720"/>
        <w:rPr>
          <w:rFonts w:ascii="Times New Roman" w:hAnsi="Times New Roman" w:cs="Times New Roman"/>
        </w:rPr>
      </w:pPr>
      <w:r>
        <w:rPr>
          <w:rFonts w:ascii="Times New Roman" w:hAnsi="Times New Roman" w:cs="Times New Roman"/>
        </w:rPr>
        <w:t>While the 2015 plan including a number of potential activities designed to encourage countries considering OGP membership, this was the one objective where the ATI WG did not advance.</w:t>
      </w:r>
    </w:p>
    <w:p w:rsidR="006730B8" w:rsidRDefault="006730B8" w:rsidP="00EB4415">
      <w:pPr>
        <w:pStyle w:val="Default"/>
        <w:ind w:left="720"/>
        <w:rPr>
          <w:rFonts w:ascii="Times New Roman" w:hAnsi="Times New Roman" w:cs="Times New Roman"/>
        </w:rPr>
      </w:pPr>
    </w:p>
    <w:p w:rsidR="006730B8" w:rsidRDefault="006730B8" w:rsidP="00EB4415">
      <w:pPr>
        <w:pStyle w:val="Default"/>
        <w:ind w:left="720"/>
        <w:rPr>
          <w:rFonts w:ascii="Times New Roman" w:hAnsi="Times New Roman" w:cs="Times New Roman"/>
        </w:rPr>
      </w:pPr>
    </w:p>
    <w:p w:rsidR="00EB4415" w:rsidRPr="00EB4415" w:rsidRDefault="00EB4415" w:rsidP="00EB4415">
      <w:pPr>
        <w:pStyle w:val="Default"/>
        <w:ind w:left="720"/>
        <w:rPr>
          <w:rFonts w:ascii="Times New Roman" w:hAnsi="Times New Roman" w:cs="Times New Roman"/>
        </w:rPr>
      </w:pPr>
    </w:p>
    <w:p w:rsidR="00C3298F" w:rsidRPr="004802D5" w:rsidRDefault="00C3298F" w:rsidP="00C3298F">
      <w:pPr>
        <w:pStyle w:val="Default"/>
        <w:numPr>
          <w:ilvl w:val="0"/>
          <w:numId w:val="16"/>
        </w:numPr>
        <w:rPr>
          <w:rFonts w:ascii="Times New Roman" w:hAnsi="Times New Roman" w:cs="Times New Roman"/>
          <w:b/>
        </w:rPr>
      </w:pPr>
      <w:r w:rsidRPr="00C3298F">
        <w:rPr>
          <w:rFonts w:ascii="Times New Roman" w:hAnsi="Times New Roman" w:cs="Times New Roman"/>
          <w:b/>
          <w:bCs/>
        </w:rPr>
        <w:t>Link Access to Information to other core OGP principles</w:t>
      </w:r>
    </w:p>
    <w:p w:rsidR="004802D5" w:rsidRDefault="004802D5" w:rsidP="004802D5">
      <w:pPr>
        <w:pStyle w:val="Default"/>
        <w:ind w:left="720"/>
        <w:rPr>
          <w:rFonts w:ascii="Times New Roman" w:hAnsi="Times New Roman" w:cs="Times New Roman"/>
          <w:b/>
          <w:bCs/>
        </w:rPr>
      </w:pPr>
    </w:p>
    <w:p w:rsidR="004802D5" w:rsidRDefault="004802D5" w:rsidP="004802D5">
      <w:pPr>
        <w:pStyle w:val="ListParagraph"/>
        <w:numPr>
          <w:ilvl w:val="0"/>
          <w:numId w:val="22"/>
        </w:numPr>
        <w:spacing w:after="0" w:line="240" w:lineRule="auto"/>
        <w:jc w:val="both"/>
        <w:rPr>
          <w:rFonts w:ascii="Times New Roman" w:hAnsi="Times New Roman" w:cs="Times New Roman"/>
          <w:sz w:val="24"/>
          <w:szCs w:val="24"/>
          <w:lang w:val="en-US"/>
        </w:rPr>
      </w:pPr>
      <w:r w:rsidRPr="004802D5">
        <w:rPr>
          <w:rFonts w:ascii="Times New Roman" w:hAnsi="Times New Roman" w:cs="Times New Roman"/>
          <w:sz w:val="24"/>
          <w:szCs w:val="24"/>
          <w:lang w:val="en-US"/>
        </w:rPr>
        <w:t xml:space="preserve">In April 2015, the ATI WG issued a call for project or research proposals to demonstrate the linkages between the right of access to information and other commitments made as part of the OGP national action plans. The call for proposal was open until May 31, 2015.  A selection committee was formed, including co-anchors Laura Neuman and María José Montiel as well as Marcos Mendiburu (World Bank) and Mukelani Dimba (Open Democracy Advice Center, South </w:t>
      </w:r>
      <w:r>
        <w:rPr>
          <w:rFonts w:ascii="Times New Roman" w:hAnsi="Times New Roman" w:cs="Times New Roman"/>
          <w:sz w:val="24"/>
          <w:szCs w:val="24"/>
          <w:lang w:val="en-US"/>
        </w:rPr>
        <w:t>A</w:t>
      </w:r>
      <w:r w:rsidRPr="004802D5">
        <w:rPr>
          <w:rFonts w:ascii="Times New Roman" w:hAnsi="Times New Roman" w:cs="Times New Roman"/>
          <w:sz w:val="24"/>
          <w:szCs w:val="24"/>
          <w:lang w:val="en-US"/>
        </w:rPr>
        <w:t>frica and member of Steering Committee</w:t>
      </w:r>
      <w:r>
        <w:rPr>
          <w:rFonts w:ascii="Times New Roman" w:hAnsi="Times New Roman" w:cs="Times New Roman"/>
          <w:sz w:val="24"/>
          <w:szCs w:val="24"/>
          <w:lang w:val="en-US"/>
        </w:rPr>
        <w:t>) and criteria for evaluation were developed</w:t>
      </w:r>
      <w:r w:rsidRPr="004802D5">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4802D5">
        <w:rPr>
          <w:rFonts w:ascii="Times New Roman" w:hAnsi="Times New Roman" w:cs="Times New Roman"/>
          <w:sz w:val="24"/>
          <w:szCs w:val="24"/>
          <w:lang w:val="en-US"/>
        </w:rPr>
        <w:t>From the more than 40 proposal received from 26 countries, four winners were selected</w:t>
      </w:r>
      <w:r>
        <w:rPr>
          <w:rFonts w:ascii="Times New Roman" w:hAnsi="Times New Roman" w:cs="Times New Roman"/>
          <w:sz w:val="24"/>
          <w:szCs w:val="24"/>
          <w:lang w:val="en-US"/>
        </w:rPr>
        <w:t xml:space="preserve"> and </w:t>
      </w:r>
      <w:r w:rsidRPr="004802D5">
        <w:rPr>
          <w:rFonts w:ascii="Times New Roman" w:hAnsi="Times New Roman" w:cs="Times New Roman"/>
          <w:sz w:val="24"/>
          <w:szCs w:val="24"/>
          <w:lang w:val="en-US"/>
        </w:rPr>
        <w:t xml:space="preserve">awarded </w:t>
      </w:r>
      <w:proofErr w:type="spellStart"/>
      <w:r w:rsidRPr="004802D5">
        <w:rPr>
          <w:rFonts w:ascii="Times New Roman" w:hAnsi="Times New Roman" w:cs="Times New Roman"/>
          <w:sz w:val="24"/>
          <w:szCs w:val="24"/>
          <w:lang w:val="en-US"/>
        </w:rPr>
        <w:t>microgrants</w:t>
      </w:r>
      <w:proofErr w:type="spellEnd"/>
      <w:r w:rsidRPr="00EA3937">
        <w:rPr>
          <w:rStyle w:val="FootnoteReference"/>
          <w:rFonts w:ascii="Times New Roman" w:hAnsi="Times New Roman" w:cs="Times New Roman"/>
          <w:sz w:val="24"/>
          <w:szCs w:val="24"/>
          <w:lang w:val="en-US"/>
        </w:rPr>
        <w:footnoteReference w:id="1"/>
      </w:r>
      <w:r>
        <w:rPr>
          <w:rFonts w:ascii="Times New Roman" w:hAnsi="Times New Roman" w:cs="Times New Roman"/>
          <w:sz w:val="24"/>
          <w:szCs w:val="24"/>
          <w:lang w:val="en-US"/>
        </w:rPr>
        <w:t>.  The grantees represented a diversity in topic and region:</w:t>
      </w:r>
    </w:p>
    <w:p w:rsidR="004802D5" w:rsidRPr="004802D5" w:rsidRDefault="004802D5" w:rsidP="004802D5">
      <w:pPr>
        <w:spacing w:after="0" w:line="240" w:lineRule="auto"/>
        <w:jc w:val="both"/>
        <w:rPr>
          <w:rFonts w:ascii="Times New Roman" w:hAnsi="Times New Roman" w:cs="Times New Roman"/>
          <w:sz w:val="24"/>
          <w:szCs w:val="24"/>
          <w:lang w:val="en-US"/>
        </w:rPr>
      </w:pPr>
    </w:p>
    <w:p w:rsidR="004802D5" w:rsidRPr="00EA3937" w:rsidRDefault="004802D5" w:rsidP="004802D5">
      <w:pPr>
        <w:snapToGrid w:val="0"/>
        <w:spacing w:after="0" w:line="240" w:lineRule="auto"/>
        <w:ind w:left="1701"/>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EA3937">
        <w:rPr>
          <w:rFonts w:ascii="Times New Roman" w:hAnsi="Times New Roman" w:cs="Times New Roman"/>
          <w:sz w:val="24"/>
          <w:szCs w:val="24"/>
          <w:lang w:val="en-US"/>
        </w:rPr>
        <w:t>Mexico Missing Persons (paper)</w:t>
      </w:r>
    </w:p>
    <w:p w:rsidR="004802D5" w:rsidRPr="00EA3937" w:rsidRDefault="004802D5" w:rsidP="004802D5">
      <w:pPr>
        <w:snapToGrid w:val="0"/>
        <w:spacing w:after="0" w:line="240" w:lineRule="auto"/>
        <w:ind w:left="1701"/>
        <w:jc w:val="both"/>
        <w:rPr>
          <w:rFonts w:ascii="Times New Roman" w:hAnsi="Times New Roman" w:cs="Times New Roman"/>
          <w:sz w:val="24"/>
          <w:szCs w:val="24"/>
          <w:lang w:val="en-US"/>
        </w:rPr>
      </w:pPr>
      <w:r w:rsidRPr="00EA3937">
        <w:rPr>
          <w:rFonts w:ascii="Times New Roman" w:hAnsi="Times New Roman" w:cs="Times New Roman"/>
          <w:sz w:val="24"/>
          <w:szCs w:val="24"/>
          <w:lang w:val="en-US"/>
        </w:rPr>
        <w:t>2.</w:t>
      </w:r>
      <w:r w:rsidRPr="00EA3937">
        <w:rPr>
          <w:rFonts w:ascii="Times New Roman" w:hAnsi="Times New Roman" w:cs="Times New Roman"/>
          <w:sz w:val="24"/>
          <w:szCs w:val="24"/>
          <w:lang w:val="en-US"/>
        </w:rPr>
        <w:tab/>
        <w:t xml:space="preserve">South Africa Environmental Information (paper) </w:t>
      </w:r>
    </w:p>
    <w:p w:rsidR="004802D5" w:rsidRPr="00EA3937" w:rsidRDefault="004802D5" w:rsidP="004802D5">
      <w:pPr>
        <w:snapToGrid w:val="0"/>
        <w:spacing w:after="0" w:line="240" w:lineRule="auto"/>
        <w:ind w:left="1701"/>
        <w:jc w:val="both"/>
        <w:rPr>
          <w:rFonts w:ascii="Times New Roman" w:hAnsi="Times New Roman" w:cs="Times New Roman"/>
          <w:sz w:val="24"/>
          <w:szCs w:val="24"/>
          <w:lang w:val="en-US"/>
        </w:rPr>
      </w:pPr>
      <w:r w:rsidRPr="00EA3937">
        <w:rPr>
          <w:rFonts w:ascii="Times New Roman" w:hAnsi="Times New Roman" w:cs="Times New Roman"/>
          <w:sz w:val="24"/>
          <w:szCs w:val="24"/>
          <w:lang w:val="en-US"/>
        </w:rPr>
        <w:t>3.</w:t>
      </w:r>
      <w:r w:rsidRPr="00EA3937">
        <w:rPr>
          <w:rFonts w:ascii="Times New Roman" w:hAnsi="Times New Roman" w:cs="Times New Roman"/>
          <w:sz w:val="24"/>
          <w:szCs w:val="24"/>
          <w:lang w:val="en-US"/>
        </w:rPr>
        <w:tab/>
        <w:t xml:space="preserve">Slovakia Healthcare (project) </w:t>
      </w:r>
    </w:p>
    <w:p w:rsidR="004802D5" w:rsidRPr="00EA3937" w:rsidRDefault="004802D5" w:rsidP="004802D5">
      <w:pPr>
        <w:snapToGrid w:val="0"/>
        <w:spacing w:after="0" w:line="240" w:lineRule="auto"/>
        <w:ind w:left="1701"/>
        <w:jc w:val="both"/>
        <w:rPr>
          <w:rFonts w:ascii="Times New Roman" w:hAnsi="Times New Roman" w:cs="Times New Roman"/>
          <w:sz w:val="24"/>
          <w:szCs w:val="24"/>
          <w:lang w:val="en-US"/>
        </w:rPr>
      </w:pPr>
      <w:r w:rsidRPr="00EA3937">
        <w:rPr>
          <w:rFonts w:ascii="Times New Roman" w:hAnsi="Times New Roman" w:cs="Times New Roman"/>
          <w:sz w:val="24"/>
          <w:szCs w:val="24"/>
          <w:lang w:val="en-US"/>
        </w:rPr>
        <w:t>4.</w:t>
      </w:r>
      <w:r w:rsidRPr="00EA3937">
        <w:rPr>
          <w:rFonts w:ascii="Times New Roman" w:hAnsi="Times New Roman" w:cs="Times New Roman"/>
          <w:sz w:val="24"/>
          <w:szCs w:val="24"/>
          <w:lang w:val="en-US"/>
        </w:rPr>
        <w:tab/>
        <w:t>Spanish Public Subsidies (p</w:t>
      </w:r>
      <w:r>
        <w:rPr>
          <w:rFonts w:ascii="Times New Roman" w:hAnsi="Times New Roman" w:cs="Times New Roman"/>
          <w:sz w:val="24"/>
          <w:szCs w:val="24"/>
          <w:lang w:val="en-US"/>
        </w:rPr>
        <w:t>aper</w:t>
      </w:r>
      <w:r w:rsidRPr="00EA3937">
        <w:rPr>
          <w:rFonts w:ascii="Times New Roman" w:hAnsi="Times New Roman" w:cs="Times New Roman"/>
          <w:sz w:val="24"/>
          <w:szCs w:val="24"/>
          <w:lang w:val="en-US"/>
        </w:rPr>
        <w:t>)</w:t>
      </w:r>
    </w:p>
    <w:p w:rsidR="004802D5" w:rsidRDefault="004802D5" w:rsidP="004802D5">
      <w:pPr>
        <w:pStyle w:val="ListParagraph"/>
        <w:spacing w:after="0" w:line="240" w:lineRule="auto"/>
        <w:ind w:left="1068"/>
        <w:jc w:val="both"/>
        <w:rPr>
          <w:rFonts w:ascii="Times New Roman" w:hAnsi="Times New Roman" w:cs="Times New Roman"/>
          <w:sz w:val="24"/>
          <w:szCs w:val="24"/>
          <w:lang w:val="en-US"/>
        </w:rPr>
      </w:pPr>
    </w:p>
    <w:p w:rsidR="004802D5" w:rsidRDefault="00F73FD9" w:rsidP="004802D5">
      <w:pPr>
        <w:pStyle w:val="ListParagraph"/>
        <w:numPr>
          <w:ilvl w:val="0"/>
          <w:numId w:val="22"/>
        </w:num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At the Mexico Summit, the ATI WG and the Open Data WG jointly sponsored/organized a panel entitled “</w:t>
      </w:r>
      <w:r w:rsidRPr="00EA3937">
        <w:rPr>
          <w:rFonts w:ascii="Times New Roman" w:hAnsi="Times New Roman" w:cs="Times New Roman"/>
          <w:i/>
          <w:sz w:val="24"/>
          <w:szCs w:val="24"/>
          <w:lang w:val="en-US"/>
        </w:rPr>
        <w:t>Building Bridges Between Access to Information Open Government Data &amp; Communities</w:t>
      </w:r>
      <w:r>
        <w:rPr>
          <w:rFonts w:ascii="Times New Roman" w:hAnsi="Times New Roman" w:cs="Times New Roman"/>
          <w:i/>
          <w:sz w:val="24"/>
          <w:szCs w:val="24"/>
          <w:lang w:val="en-US"/>
        </w:rPr>
        <w:t>”</w:t>
      </w:r>
      <w:r w:rsidR="006054BD">
        <w:rPr>
          <w:rFonts w:ascii="Times New Roman" w:hAnsi="Times New Roman" w:cs="Times New Roman"/>
          <w:sz w:val="24"/>
          <w:szCs w:val="24"/>
          <w:lang w:val="en-US"/>
        </w:rPr>
        <w:t xml:space="preserve"> and included co-anchors and members from each working group.</w:t>
      </w:r>
      <w:r w:rsidR="004802D5" w:rsidRPr="00EA3937">
        <w:rPr>
          <w:rFonts w:ascii="Times New Roman" w:hAnsi="Times New Roman" w:cs="Times New Roman"/>
          <w:sz w:val="24"/>
          <w:szCs w:val="24"/>
          <w:lang w:val="en-US"/>
        </w:rPr>
        <w:tab/>
      </w:r>
    </w:p>
    <w:p w:rsidR="006054BD" w:rsidRDefault="006054BD" w:rsidP="006054BD">
      <w:pPr>
        <w:pStyle w:val="ListParagraph"/>
        <w:spacing w:after="0" w:line="240" w:lineRule="auto"/>
        <w:ind w:left="1068"/>
        <w:jc w:val="both"/>
        <w:rPr>
          <w:rFonts w:ascii="Times New Roman" w:hAnsi="Times New Roman" w:cs="Times New Roman"/>
          <w:sz w:val="24"/>
          <w:szCs w:val="24"/>
          <w:lang w:val="en-US"/>
        </w:rPr>
      </w:pPr>
    </w:p>
    <w:p w:rsidR="006054BD" w:rsidRPr="00EA3937" w:rsidRDefault="006054BD" w:rsidP="004802D5">
      <w:pPr>
        <w:pStyle w:val="ListParagraph"/>
        <w:numPr>
          <w:ilvl w:val="0"/>
          <w:numId w:val="22"/>
        </w:num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ATI WG and the Legislative Openness WG explored a number of possibilities for joint engagement.  While we were not able to specifically advance activities in 2015, we raised awareness about the value of ATI for </w:t>
      </w:r>
      <w:r w:rsidR="009A695F">
        <w:rPr>
          <w:rFonts w:ascii="Times New Roman" w:hAnsi="Times New Roman" w:cs="Times New Roman"/>
          <w:sz w:val="24"/>
          <w:szCs w:val="24"/>
          <w:lang w:val="en-US"/>
        </w:rPr>
        <w:t>Legislative Openness, and the role of the legislature not only to pass good legislation but also for oversight/monitoring.</w:t>
      </w:r>
    </w:p>
    <w:p w:rsidR="004802D5" w:rsidRDefault="004802D5" w:rsidP="004802D5">
      <w:pPr>
        <w:pStyle w:val="Default"/>
        <w:ind w:left="720"/>
        <w:rPr>
          <w:rFonts w:ascii="Times New Roman" w:hAnsi="Times New Roman" w:cs="Times New Roman"/>
          <w:b/>
          <w:bCs/>
        </w:rPr>
      </w:pPr>
    </w:p>
    <w:p w:rsidR="004802D5" w:rsidRPr="00C3298F" w:rsidRDefault="004802D5" w:rsidP="004802D5">
      <w:pPr>
        <w:pStyle w:val="Default"/>
        <w:ind w:left="720"/>
        <w:rPr>
          <w:rFonts w:ascii="Times New Roman" w:hAnsi="Times New Roman" w:cs="Times New Roman"/>
          <w:b/>
        </w:rPr>
      </w:pPr>
    </w:p>
    <w:p w:rsidR="00C3298F" w:rsidRPr="00C12011" w:rsidRDefault="00C3298F" w:rsidP="00C3298F">
      <w:pPr>
        <w:pStyle w:val="Default"/>
        <w:numPr>
          <w:ilvl w:val="0"/>
          <w:numId w:val="16"/>
        </w:numPr>
        <w:rPr>
          <w:rFonts w:ascii="Times New Roman" w:hAnsi="Times New Roman" w:cs="Times New Roman"/>
          <w:b/>
        </w:rPr>
      </w:pPr>
      <w:r w:rsidRPr="00C3298F">
        <w:rPr>
          <w:rFonts w:ascii="Times New Roman" w:hAnsi="Times New Roman" w:cs="Times New Roman"/>
          <w:b/>
          <w:bCs/>
        </w:rPr>
        <w:t>Develop and Disseminate Research/Analysis/Relevant Information</w:t>
      </w:r>
    </w:p>
    <w:p w:rsidR="00C12011" w:rsidRDefault="00C12011" w:rsidP="00C12011">
      <w:pPr>
        <w:pStyle w:val="Default"/>
        <w:ind w:left="720"/>
        <w:rPr>
          <w:rFonts w:ascii="Times New Roman" w:hAnsi="Times New Roman" w:cs="Times New Roman"/>
          <w:b/>
          <w:bCs/>
        </w:rPr>
      </w:pPr>
    </w:p>
    <w:p w:rsidR="00C12011" w:rsidRPr="00C12011" w:rsidRDefault="00C12011" w:rsidP="00C12011">
      <w:pPr>
        <w:pStyle w:val="Default"/>
        <w:numPr>
          <w:ilvl w:val="0"/>
          <w:numId w:val="26"/>
        </w:numPr>
        <w:rPr>
          <w:rFonts w:ascii="Times New Roman" w:hAnsi="Times New Roman" w:cs="Times New Roman"/>
          <w:b/>
        </w:rPr>
      </w:pPr>
      <w:r>
        <w:rPr>
          <w:rFonts w:ascii="Times New Roman" w:hAnsi="Times New Roman" w:cs="Times New Roman"/>
        </w:rPr>
        <w:t>In collaboration with the Support Unit, the ATI WG further developed its page on the OGP website, created a one-page hand-out and shared information with the working group members through its list-serve.</w:t>
      </w:r>
    </w:p>
    <w:p w:rsidR="00C12011" w:rsidRPr="00C12011" w:rsidRDefault="00C12011" w:rsidP="00C12011">
      <w:pPr>
        <w:pStyle w:val="Default"/>
        <w:ind w:left="1068"/>
        <w:rPr>
          <w:rFonts w:ascii="Times New Roman" w:hAnsi="Times New Roman" w:cs="Times New Roman"/>
          <w:b/>
        </w:rPr>
      </w:pPr>
    </w:p>
    <w:p w:rsidR="00C12011" w:rsidRPr="00C3298F" w:rsidRDefault="00C12011" w:rsidP="00C12011">
      <w:pPr>
        <w:pStyle w:val="Default"/>
        <w:numPr>
          <w:ilvl w:val="0"/>
          <w:numId w:val="26"/>
        </w:numPr>
        <w:rPr>
          <w:rFonts w:ascii="Times New Roman" w:hAnsi="Times New Roman" w:cs="Times New Roman"/>
          <w:b/>
        </w:rPr>
      </w:pPr>
      <w:r>
        <w:rPr>
          <w:rFonts w:ascii="Times New Roman" w:hAnsi="Times New Roman" w:cs="Times New Roman"/>
        </w:rPr>
        <w:t>Presently, the ATI WG has commissioned research specific to ATI commitments in member countries to develop a convenient guide to all related commitments.  The research will utilize information from the existing OGP Explorer and review each action plan, and include relevant findings from IRM reports.  The development of the guide to OGP ATI commitments comes directly from requests made by POCs, government officials and civil society ATI WG members.</w:t>
      </w:r>
    </w:p>
    <w:p w:rsidR="00EA3937" w:rsidRPr="00C3298F" w:rsidRDefault="00EA3937" w:rsidP="00C12011">
      <w:pPr>
        <w:pStyle w:val="Heading1"/>
        <w:ind w:left="720"/>
        <w:rPr>
          <w:rFonts w:ascii="Times New Roman" w:hAnsi="Times New Roman" w:cs="Times New Roman"/>
          <w:sz w:val="24"/>
          <w:szCs w:val="24"/>
          <w:lang w:val="en-US"/>
        </w:rPr>
      </w:pPr>
    </w:p>
    <w:p w:rsidR="00290F00" w:rsidRPr="00EA3937" w:rsidRDefault="00290F00" w:rsidP="00290F00">
      <w:pPr>
        <w:snapToGrid w:val="0"/>
        <w:spacing w:after="0" w:line="240" w:lineRule="auto"/>
        <w:jc w:val="both"/>
        <w:rPr>
          <w:rFonts w:ascii="Times New Roman" w:hAnsi="Times New Roman" w:cs="Times New Roman"/>
          <w:sz w:val="24"/>
          <w:szCs w:val="24"/>
          <w:lang w:val="en-US"/>
        </w:rPr>
      </w:pPr>
    </w:p>
    <w:p w:rsidR="00B21EEF" w:rsidRPr="00EA3937" w:rsidRDefault="00B21EEF">
      <w:pPr>
        <w:jc w:val="both"/>
        <w:rPr>
          <w:rFonts w:ascii="Times New Roman" w:hAnsi="Times New Roman" w:cs="Times New Roman"/>
          <w:sz w:val="24"/>
          <w:szCs w:val="24"/>
          <w:lang w:val="en-US"/>
        </w:rPr>
      </w:pPr>
    </w:p>
    <w:sectPr w:rsidR="00B21EEF" w:rsidRPr="00EA3937">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10E4" w:rsidRDefault="00DC10E4" w:rsidP="003F1F1D">
      <w:pPr>
        <w:spacing w:after="0" w:line="240" w:lineRule="auto"/>
      </w:pPr>
      <w:r>
        <w:separator/>
      </w:r>
    </w:p>
  </w:endnote>
  <w:endnote w:type="continuationSeparator" w:id="0">
    <w:p w:rsidR="00DC10E4" w:rsidRDefault="00DC10E4" w:rsidP="003F1F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2398423"/>
      <w:docPartObj>
        <w:docPartGallery w:val="Page Numbers (Bottom of Page)"/>
        <w:docPartUnique/>
      </w:docPartObj>
    </w:sdtPr>
    <w:sdtEndPr>
      <w:rPr>
        <w:noProof/>
      </w:rPr>
    </w:sdtEndPr>
    <w:sdtContent>
      <w:p w:rsidR="0077557F" w:rsidRDefault="0077557F">
        <w:pPr>
          <w:pStyle w:val="Footer"/>
          <w:jc w:val="center"/>
        </w:pPr>
        <w:r>
          <w:fldChar w:fldCharType="begin"/>
        </w:r>
        <w:r>
          <w:instrText xml:space="preserve"> PAGE   \* MERGEFORMAT </w:instrText>
        </w:r>
        <w:r>
          <w:fldChar w:fldCharType="separate"/>
        </w:r>
        <w:r w:rsidR="00CB0D62">
          <w:rPr>
            <w:noProof/>
          </w:rPr>
          <w:t>1</w:t>
        </w:r>
        <w:r>
          <w:rPr>
            <w:noProof/>
          </w:rPr>
          <w:fldChar w:fldCharType="end"/>
        </w:r>
      </w:p>
    </w:sdtContent>
  </w:sdt>
  <w:p w:rsidR="0077557F" w:rsidRDefault="007755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10E4" w:rsidRDefault="00DC10E4" w:rsidP="003F1F1D">
      <w:pPr>
        <w:spacing w:after="0" w:line="240" w:lineRule="auto"/>
      </w:pPr>
      <w:r>
        <w:separator/>
      </w:r>
    </w:p>
  </w:footnote>
  <w:footnote w:type="continuationSeparator" w:id="0">
    <w:p w:rsidR="00DC10E4" w:rsidRDefault="00DC10E4" w:rsidP="003F1F1D">
      <w:pPr>
        <w:spacing w:after="0" w:line="240" w:lineRule="auto"/>
      </w:pPr>
      <w:r>
        <w:continuationSeparator/>
      </w:r>
    </w:p>
  </w:footnote>
  <w:footnote w:id="1">
    <w:p w:rsidR="004802D5" w:rsidRPr="003F1F1D" w:rsidRDefault="004802D5" w:rsidP="004802D5">
      <w:pPr>
        <w:pStyle w:val="FootnoteText"/>
        <w:rPr>
          <w:lang w:val="en-US"/>
        </w:rPr>
      </w:pPr>
      <w:r>
        <w:rPr>
          <w:rStyle w:val="FootnoteReference"/>
        </w:rPr>
        <w:footnoteRef/>
      </w:r>
      <w:r w:rsidRPr="003F1F1D">
        <w:rPr>
          <w:lang w:val="en-US"/>
        </w:rPr>
        <w:t xml:space="preserve"> The </w:t>
      </w:r>
      <w:proofErr w:type="spellStart"/>
      <w:r w:rsidRPr="003F1F1D">
        <w:rPr>
          <w:lang w:val="en-US"/>
        </w:rPr>
        <w:t>microgrants</w:t>
      </w:r>
      <w:proofErr w:type="spellEnd"/>
      <w:r w:rsidRPr="003F1F1D">
        <w:rPr>
          <w:lang w:val="en-US"/>
        </w:rPr>
        <w:t>, in the amount of US$1,500 for research papers and US$3,000 for projects - See more at: http://www.opengovpartnership.org/blog/open-government-partnership/2015/05/25/apply-access-information-working-group-microgrant#sthash.G9xhB6oq.dpuf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00E81"/>
    <w:multiLevelType w:val="hybridMultilevel"/>
    <w:tmpl w:val="8B9C7D54"/>
    <w:lvl w:ilvl="0" w:tplc="0409000B">
      <w:start w:val="1"/>
      <w:numFmt w:val="bullet"/>
      <w:lvlText w:val=""/>
      <w:lvlJc w:val="left"/>
      <w:pPr>
        <w:ind w:left="1068" w:hanging="360"/>
      </w:pPr>
      <w:rPr>
        <w:rFonts w:ascii="Wingdings" w:hAnsi="Wingding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
    <w:nsid w:val="140B1101"/>
    <w:multiLevelType w:val="hybridMultilevel"/>
    <w:tmpl w:val="F0EAF4DC"/>
    <w:lvl w:ilvl="0" w:tplc="80547C52">
      <w:numFmt w:val="bullet"/>
      <w:lvlText w:val="•"/>
      <w:lvlJc w:val="left"/>
      <w:pPr>
        <w:ind w:left="720" w:hanging="360"/>
      </w:pPr>
      <w:rPr>
        <w:rFonts w:ascii="Arial Narrow" w:eastAsiaTheme="minorEastAsia" w:hAnsi="Arial Narrow"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4C039BB"/>
    <w:multiLevelType w:val="hybridMultilevel"/>
    <w:tmpl w:val="E90AD5F0"/>
    <w:lvl w:ilvl="0" w:tplc="80547C52">
      <w:numFmt w:val="bullet"/>
      <w:lvlText w:val="•"/>
      <w:lvlJc w:val="left"/>
      <w:pPr>
        <w:ind w:left="720" w:hanging="360"/>
      </w:pPr>
      <w:rPr>
        <w:rFonts w:ascii="Arial Narrow" w:eastAsiaTheme="minorEastAsia" w:hAnsi="Arial Narrow"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96E4BCF"/>
    <w:multiLevelType w:val="hybridMultilevel"/>
    <w:tmpl w:val="1CFE8F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6F5DF0"/>
    <w:multiLevelType w:val="hybridMultilevel"/>
    <w:tmpl w:val="1700C0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B52A0B"/>
    <w:multiLevelType w:val="hybridMultilevel"/>
    <w:tmpl w:val="5298F6E0"/>
    <w:lvl w:ilvl="0" w:tplc="80547C52">
      <w:numFmt w:val="bullet"/>
      <w:lvlText w:val="•"/>
      <w:lvlJc w:val="left"/>
      <w:pPr>
        <w:ind w:left="720" w:hanging="360"/>
      </w:pPr>
      <w:rPr>
        <w:rFonts w:ascii="Arial Narrow" w:eastAsiaTheme="minorEastAsia" w:hAnsi="Arial Narrow"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FDC61BB"/>
    <w:multiLevelType w:val="hybridMultilevel"/>
    <w:tmpl w:val="1110E552"/>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0E52CAE"/>
    <w:multiLevelType w:val="hybridMultilevel"/>
    <w:tmpl w:val="6FACB626"/>
    <w:lvl w:ilvl="0" w:tplc="0409000B">
      <w:start w:val="1"/>
      <w:numFmt w:val="bullet"/>
      <w:lvlText w:val=""/>
      <w:lvlJc w:val="left"/>
      <w:pPr>
        <w:ind w:left="1068" w:hanging="360"/>
      </w:pPr>
      <w:rPr>
        <w:rFonts w:ascii="Wingdings" w:hAnsi="Wingding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8">
    <w:nsid w:val="24661621"/>
    <w:multiLevelType w:val="hybridMultilevel"/>
    <w:tmpl w:val="2B8C26A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94A3219"/>
    <w:multiLevelType w:val="hybridMultilevel"/>
    <w:tmpl w:val="2C1E0626"/>
    <w:lvl w:ilvl="0" w:tplc="0409000B">
      <w:start w:val="1"/>
      <w:numFmt w:val="bullet"/>
      <w:lvlText w:val=""/>
      <w:lvlJc w:val="left"/>
      <w:pPr>
        <w:ind w:left="1068" w:hanging="360"/>
      </w:pPr>
      <w:rPr>
        <w:rFonts w:ascii="Wingdings" w:hAnsi="Wingding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0">
    <w:nsid w:val="2C9D31F6"/>
    <w:multiLevelType w:val="hybridMultilevel"/>
    <w:tmpl w:val="BA64320C"/>
    <w:lvl w:ilvl="0" w:tplc="0409000B">
      <w:start w:val="1"/>
      <w:numFmt w:val="bullet"/>
      <w:lvlText w:val=""/>
      <w:lvlJc w:val="left"/>
      <w:pPr>
        <w:ind w:left="1428" w:hanging="360"/>
      </w:pPr>
      <w:rPr>
        <w:rFonts w:ascii="Wingdings" w:hAnsi="Wingdings"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1">
    <w:nsid w:val="2F6C7EE1"/>
    <w:multiLevelType w:val="hybridMultilevel"/>
    <w:tmpl w:val="27C058A4"/>
    <w:lvl w:ilvl="0" w:tplc="0409000B">
      <w:start w:val="1"/>
      <w:numFmt w:val="bullet"/>
      <w:lvlText w:val=""/>
      <w:lvlJc w:val="left"/>
      <w:pPr>
        <w:ind w:left="1068" w:hanging="360"/>
      </w:pPr>
      <w:rPr>
        <w:rFonts w:ascii="Wingdings" w:hAnsi="Wingding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2">
    <w:nsid w:val="377125AE"/>
    <w:multiLevelType w:val="hybridMultilevel"/>
    <w:tmpl w:val="2E8034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4E67131C"/>
    <w:multiLevelType w:val="hybridMultilevel"/>
    <w:tmpl w:val="A0320876"/>
    <w:lvl w:ilvl="0" w:tplc="80547C52">
      <w:numFmt w:val="bullet"/>
      <w:lvlText w:val="•"/>
      <w:lvlJc w:val="left"/>
      <w:pPr>
        <w:ind w:left="720" w:hanging="360"/>
      </w:pPr>
      <w:rPr>
        <w:rFonts w:ascii="Arial Narrow" w:eastAsiaTheme="minorEastAsia" w:hAnsi="Arial Narrow"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FD430EB"/>
    <w:multiLevelType w:val="hybridMultilevel"/>
    <w:tmpl w:val="EA50B7F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1F27C0F"/>
    <w:multiLevelType w:val="hybridMultilevel"/>
    <w:tmpl w:val="2C44AA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83A01C7"/>
    <w:multiLevelType w:val="hybridMultilevel"/>
    <w:tmpl w:val="B6FEBC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600151CB"/>
    <w:multiLevelType w:val="hybridMultilevel"/>
    <w:tmpl w:val="284C48F4"/>
    <w:lvl w:ilvl="0" w:tplc="80547C52">
      <w:numFmt w:val="bullet"/>
      <w:lvlText w:val="•"/>
      <w:lvlJc w:val="left"/>
      <w:pPr>
        <w:ind w:left="720" w:hanging="360"/>
      </w:pPr>
      <w:rPr>
        <w:rFonts w:ascii="Arial Narrow" w:eastAsiaTheme="minorEastAsia" w:hAnsi="Arial Narrow" w:cstheme="minorBidi"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679055CD"/>
    <w:multiLevelType w:val="hybridMultilevel"/>
    <w:tmpl w:val="C4CA2D9E"/>
    <w:lvl w:ilvl="0" w:tplc="0409000B">
      <w:start w:val="1"/>
      <w:numFmt w:val="bullet"/>
      <w:lvlText w:val=""/>
      <w:lvlJc w:val="left"/>
      <w:pPr>
        <w:ind w:left="1068" w:hanging="360"/>
      </w:pPr>
      <w:rPr>
        <w:rFonts w:ascii="Wingdings" w:hAnsi="Wingdings"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9">
    <w:nsid w:val="697616B6"/>
    <w:multiLevelType w:val="hybridMultilevel"/>
    <w:tmpl w:val="E37EE06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6A406F43"/>
    <w:multiLevelType w:val="hybridMultilevel"/>
    <w:tmpl w:val="B802B658"/>
    <w:lvl w:ilvl="0" w:tplc="80547C52">
      <w:numFmt w:val="bullet"/>
      <w:lvlText w:val="•"/>
      <w:lvlJc w:val="left"/>
      <w:pPr>
        <w:ind w:left="720" w:hanging="360"/>
      </w:pPr>
      <w:rPr>
        <w:rFonts w:ascii="Arial Narrow" w:eastAsiaTheme="minorEastAsia" w:hAnsi="Arial Narrow"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A55039E"/>
    <w:multiLevelType w:val="hybridMultilevel"/>
    <w:tmpl w:val="FEA25B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731A0CD8"/>
    <w:multiLevelType w:val="hybridMultilevel"/>
    <w:tmpl w:val="FEE2DED6"/>
    <w:lvl w:ilvl="0" w:tplc="66BCAFCE">
      <w:start w:val="6"/>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nsid w:val="771D7180"/>
    <w:multiLevelType w:val="hybridMultilevel"/>
    <w:tmpl w:val="94C8392A"/>
    <w:lvl w:ilvl="0" w:tplc="E5E6508C">
      <w:start w:val="1"/>
      <w:numFmt w:val="bullet"/>
      <w:lvlText w:val="-"/>
      <w:lvlJc w:val="left"/>
      <w:pPr>
        <w:ind w:left="720" w:hanging="360"/>
      </w:pPr>
      <w:rPr>
        <w:rFonts w:ascii="Calibri" w:eastAsiaTheme="minorHAnsi" w:hAnsi="Calibri"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7B5A03DD"/>
    <w:multiLevelType w:val="hybridMultilevel"/>
    <w:tmpl w:val="E05236D4"/>
    <w:lvl w:ilvl="0" w:tplc="80547C52">
      <w:numFmt w:val="bullet"/>
      <w:lvlText w:val="•"/>
      <w:lvlJc w:val="left"/>
      <w:pPr>
        <w:ind w:left="1428" w:hanging="360"/>
      </w:pPr>
      <w:rPr>
        <w:rFonts w:ascii="Arial Narrow" w:eastAsiaTheme="minorEastAsia" w:hAnsi="Arial Narrow" w:cstheme="minorBidi"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5">
    <w:nsid w:val="7D447E28"/>
    <w:multiLevelType w:val="hybridMultilevel"/>
    <w:tmpl w:val="A33CB826"/>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2"/>
  </w:num>
  <w:num w:numId="3">
    <w:abstractNumId w:val="23"/>
  </w:num>
  <w:num w:numId="4">
    <w:abstractNumId w:val="21"/>
  </w:num>
  <w:num w:numId="5">
    <w:abstractNumId w:val="20"/>
  </w:num>
  <w:num w:numId="6">
    <w:abstractNumId w:val="17"/>
  </w:num>
  <w:num w:numId="7">
    <w:abstractNumId w:val="2"/>
  </w:num>
  <w:num w:numId="8">
    <w:abstractNumId w:val="14"/>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25"/>
  </w:num>
  <w:num w:numId="12">
    <w:abstractNumId w:val="22"/>
  </w:num>
  <w:num w:numId="13">
    <w:abstractNumId w:val="24"/>
  </w:num>
  <w:num w:numId="14">
    <w:abstractNumId w:val="1"/>
  </w:num>
  <w:num w:numId="15">
    <w:abstractNumId w:val="5"/>
  </w:num>
  <w:num w:numId="16">
    <w:abstractNumId w:val="15"/>
  </w:num>
  <w:num w:numId="17">
    <w:abstractNumId w:val="0"/>
  </w:num>
  <w:num w:numId="18">
    <w:abstractNumId w:val="11"/>
  </w:num>
  <w:num w:numId="19">
    <w:abstractNumId w:val="8"/>
  </w:num>
  <w:num w:numId="20">
    <w:abstractNumId w:val="10"/>
  </w:num>
  <w:num w:numId="21">
    <w:abstractNumId w:val="9"/>
  </w:num>
  <w:num w:numId="22">
    <w:abstractNumId w:val="18"/>
  </w:num>
  <w:num w:numId="23">
    <w:abstractNumId w:val="4"/>
  </w:num>
  <w:num w:numId="24">
    <w:abstractNumId w:val="3"/>
  </w:num>
  <w:num w:numId="25">
    <w:abstractNumId w:val="19"/>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3D7"/>
    <w:rsid w:val="0008572C"/>
    <w:rsid w:val="000D0A2D"/>
    <w:rsid w:val="000E7884"/>
    <w:rsid w:val="001053F2"/>
    <w:rsid w:val="001734C7"/>
    <w:rsid w:val="001B0C88"/>
    <w:rsid w:val="00290F00"/>
    <w:rsid w:val="002B2909"/>
    <w:rsid w:val="0036119F"/>
    <w:rsid w:val="003F1F1D"/>
    <w:rsid w:val="00462F87"/>
    <w:rsid w:val="004802D5"/>
    <w:rsid w:val="005040D9"/>
    <w:rsid w:val="005D1747"/>
    <w:rsid w:val="005E73EE"/>
    <w:rsid w:val="006054BD"/>
    <w:rsid w:val="006153D7"/>
    <w:rsid w:val="006730B8"/>
    <w:rsid w:val="007147F2"/>
    <w:rsid w:val="0072126A"/>
    <w:rsid w:val="00737C8C"/>
    <w:rsid w:val="0077557F"/>
    <w:rsid w:val="007A3793"/>
    <w:rsid w:val="009A0BCD"/>
    <w:rsid w:val="009A695F"/>
    <w:rsid w:val="009E152C"/>
    <w:rsid w:val="00A144FF"/>
    <w:rsid w:val="00A338D6"/>
    <w:rsid w:val="00B21EEF"/>
    <w:rsid w:val="00B319E9"/>
    <w:rsid w:val="00BD123C"/>
    <w:rsid w:val="00BF2CB5"/>
    <w:rsid w:val="00BF752C"/>
    <w:rsid w:val="00C12011"/>
    <w:rsid w:val="00C3298F"/>
    <w:rsid w:val="00C77847"/>
    <w:rsid w:val="00CB0D62"/>
    <w:rsid w:val="00D00F36"/>
    <w:rsid w:val="00DC0797"/>
    <w:rsid w:val="00DC10E4"/>
    <w:rsid w:val="00DC3D4E"/>
    <w:rsid w:val="00E009E9"/>
    <w:rsid w:val="00E17B17"/>
    <w:rsid w:val="00E46921"/>
    <w:rsid w:val="00E74A07"/>
    <w:rsid w:val="00EA3937"/>
    <w:rsid w:val="00EA5D5C"/>
    <w:rsid w:val="00EB4415"/>
    <w:rsid w:val="00EB6BDE"/>
    <w:rsid w:val="00EE5781"/>
    <w:rsid w:val="00F22777"/>
    <w:rsid w:val="00F24072"/>
    <w:rsid w:val="00F46984"/>
    <w:rsid w:val="00F73FD9"/>
    <w:rsid w:val="00F76FF2"/>
    <w:rsid w:val="00FC71B0"/>
  </w:rsids>
  <m:mathPr>
    <m:mathFont m:val="Cambria Math"/>
    <m:brkBin m:val="before"/>
    <m:brkBinSub m:val="--"/>
    <m:smallFrac m:val="0"/>
    <m:dispDef/>
    <m:lMargin m:val="0"/>
    <m:rMargin m:val="0"/>
    <m:defJc m:val="centerGroup"/>
    <m:wrapIndent m:val="1440"/>
    <m:intLim m:val="subSup"/>
    <m:naryLim m:val="undOvr"/>
  </m:mathPr>
  <w:themeFontLang w:val="es-MX"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A0B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73EE"/>
    <w:pPr>
      <w:ind w:left="720"/>
      <w:contextualSpacing/>
    </w:pPr>
  </w:style>
  <w:style w:type="character" w:customStyle="1" w:styleId="Heading1Char">
    <w:name w:val="Heading 1 Char"/>
    <w:basedOn w:val="DefaultParagraphFont"/>
    <w:link w:val="Heading1"/>
    <w:uiPriority w:val="9"/>
    <w:rsid w:val="009A0BCD"/>
    <w:rPr>
      <w:rFonts w:asciiTheme="majorHAnsi" w:eastAsiaTheme="majorEastAsia" w:hAnsiTheme="majorHAnsi" w:cstheme="majorBidi"/>
      <w:b/>
      <w:bCs/>
      <w:color w:val="365F91" w:themeColor="accent1" w:themeShade="BF"/>
      <w:sz w:val="28"/>
      <w:szCs w:val="28"/>
    </w:rPr>
  </w:style>
  <w:style w:type="paragraph" w:styleId="FootnoteText">
    <w:name w:val="footnote text"/>
    <w:basedOn w:val="Normal"/>
    <w:link w:val="FootnoteTextChar"/>
    <w:uiPriority w:val="99"/>
    <w:semiHidden/>
    <w:unhideWhenUsed/>
    <w:rsid w:val="003F1F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F1F1D"/>
    <w:rPr>
      <w:sz w:val="20"/>
      <w:szCs w:val="20"/>
    </w:rPr>
  </w:style>
  <w:style w:type="character" w:styleId="FootnoteReference">
    <w:name w:val="footnote reference"/>
    <w:basedOn w:val="DefaultParagraphFont"/>
    <w:uiPriority w:val="99"/>
    <w:semiHidden/>
    <w:unhideWhenUsed/>
    <w:rsid w:val="003F1F1D"/>
    <w:rPr>
      <w:vertAlign w:val="superscript"/>
    </w:rPr>
  </w:style>
  <w:style w:type="paragraph" w:styleId="Subtitle">
    <w:name w:val="Subtitle"/>
    <w:basedOn w:val="Normal"/>
    <w:next w:val="Normal"/>
    <w:link w:val="SubtitleChar"/>
    <w:uiPriority w:val="11"/>
    <w:qFormat/>
    <w:rsid w:val="007147F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147F2"/>
    <w:rPr>
      <w:rFonts w:asciiTheme="majorHAnsi" w:eastAsiaTheme="majorEastAsia" w:hAnsiTheme="majorHAnsi" w:cstheme="majorBidi"/>
      <w:i/>
      <w:iCs/>
      <w:color w:val="4F81BD" w:themeColor="accent1"/>
      <w:spacing w:val="15"/>
      <w:sz w:val="24"/>
      <w:szCs w:val="24"/>
    </w:rPr>
  </w:style>
  <w:style w:type="paragraph" w:customStyle="1" w:styleId="Default">
    <w:name w:val="Default"/>
    <w:rsid w:val="00EA3937"/>
    <w:pPr>
      <w:autoSpaceDE w:val="0"/>
      <w:autoSpaceDN w:val="0"/>
      <w:adjustRightInd w:val="0"/>
      <w:spacing w:after="0" w:line="240" w:lineRule="auto"/>
    </w:pPr>
    <w:rPr>
      <w:rFonts w:ascii="Calibri" w:hAnsi="Calibri" w:cs="Calibri"/>
      <w:color w:val="000000"/>
      <w:sz w:val="24"/>
      <w:szCs w:val="24"/>
      <w:lang w:val="en-US"/>
    </w:rPr>
  </w:style>
  <w:style w:type="paragraph" w:styleId="Header">
    <w:name w:val="header"/>
    <w:basedOn w:val="Normal"/>
    <w:link w:val="HeaderChar"/>
    <w:uiPriority w:val="99"/>
    <w:unhideWhenUsed/>
    <w:rsid w:val="007755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557F"/>
  </w:style>
  <w:style w:type="paragraph" w:styleId="Footer">
    <w:name w:val="footer"/>
    <w:basedOn w:val="Normal"/>
    <w:link w:val="FooterChar"/>
    <w:uiPriority w:val="99"/>
    <w:unhideWhenUsed/>
    <w:rsid w:val="007755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55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A0B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73EE"/>
    <w:pPr>
      <w:ind w:left="720"/>
      <w:contextualSpacing/>
    </w:pPr>
  </w:style>
  <w:style w:type="character" w:customStyle="1" w:styleId="Heading1Char">
    <w:name w:val="Heading 1 Char"/>
    <w:basedOn w:val="DefaultParagraphFont"/>
    <w:link w:val="Heading1"/>
    <w:uiPriority w:val="9"/>
    <w:rsid w:val="009A0BCD"/>
    <w:rPr>
      <w:rFonts w:asciiTheme="majorHAnsi" w:eastAsiaTheme="majorEastAsia" w:hAnsiTheme="majorHAnsi" w:cstheme="majorBidi"/>
      <w:b/>
      <w:bCs/>
      <w:color w:val="365F91" w:themeColor="accent1" w:themeShade="BF"/>
      <w:sz w:val="28"/>
      <w:szCs w:val="28"/>
    </w:rPr>
  </w:style>
  <w:style w:type="paragraph" w:styleId="FootnoteText">
    <w:name w:val="footnote text"/>
    <w:basedOn w:val="Normal"/>
    <w:link w:val="FootnoteTextChar"/>
    <w:uiPriority w:val="99"/>
    <w:semiHidden/>
    <w:unhideWhenUsed/>
    <w:rsid w:val="003F1F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F1F1D"/>
    <w:rPr>
      <w:sz w:val="20"/>
      <w:szCs w:val="20"/>
    </w:rPr>
  </w:style>
  <w:style w:type="character" w:styleId="FootnoteReference">
    <w:name w:val="footnote reference"/>
    <w:basedOn w:val="DefaultParagraphFont"/>
    <w:uiPriority w:val="99"/>
    <w:semiHidden/>
    <w:unhideWhenUsed/>
    <w:rsid w:val="003F1F1D"/>
    <w:rPr>
      <w:vertAlign w:val="superscript"/>
    </w:rPr>
  </w:style>
  <w:style w:type="paragraph" w:styleId="Subtitle">
    <w:name w:val="Subtitle"/>
    <w:basedOn w:val="Normal"/>
    <w:next w:val="Normal"/>
    <w:link w:val="SubtitleChar"/>
    <w:uiPriority w:val="11"/>
    <w:qFormat/>
    <w:rsid w:val="007147F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147F2"/>
    <w:rPr>
      <w:rFonts w:asciiTheme="majorHAnsi" w:eastAsiaTheme="majorEastAsia" w:hAnsiTheme="majorHAnsi" w:cstheme="majorBidi"/>
      <w:i/>
      <w:iCs/>
      <w:color w:val="4F81BD" w:themeColor="accent1"/>
      <w:spacing w:val="15"/>
      <w:sz w:val="24"/>
      <w:szCs w:val="24"/>
    </w:rPr>
  </w:style>
  <w:style w:type="paragraph" w:customStyle="1" w:styleId="Default">
    <w:name w:val="Default"/>
    <w:rsid w:val="00EA3937"/>
    <w:pPr>
      <w:autoSpaceDE w:val="0"/>
      <w:autoSpaceDN w:val="0"/>
      <w:adjustRightInd w:val="0"/>
      <w:spacing w:after="0" w:line="240" w:lineRule="auto"/>
    </w:pPr>
    <w:rPr>
      <w:rFonts w:ascii="Calibri" w:hAnsi="Calibri" w:cs="Calibri"/>
      <w:color w:val="000000"/>
      <w:sz w:val="24"/>
      <w:szCs w:val="24"/>
      <w:lang w:val="en-US"/>
    </w:rPr>
  </w:style>
  <w:style w:type="paragraph" w:styleId="Header">
    <w:name w:val="header"/>
    <w:basedOn w:val="Normal"/>
    <w:link w:val="HeaderChar"/>
    <w:uiPriority w:val="99"/>
    <w:unhideWhenUsed/>
    <w:rsid w:val="007755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557F"/>
  </w:style>
  <w:style w:type="paragraph" w:styleId="Footer">
    <w:name w:val="footer"/>
    <w:basedOn w:val="Normal"/>
    <w:link w:val="FooterChar"/>
    <w:uiPriority w:val="99"/>
    <w:unhideWhenUsed/>
    <w:rsid w:val="007755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55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93382">
      <w:bodyDiv w:val="1"/>
      <w:marLeft w:val="0"/>
      <w:marRight w:val="0"/>
      <w:marTop w:val="0"/>
      <w:marBottom w:val="0"/>
      <w:divBdr>
        <w:top w:val="none" w:sz="0" w:space="0" w:color="auto"/>
        <w:left w:val="none" w:sz="0" w:space="0" w:color="auto"/>
        <w:bottom w:val="none" w:sz="0" w:space="0" w:color="auto"/>
        <w:right w:val="none" w:sz="0" w:space="0" w:color="auto"/>
      </w:divBdr>
    </w:div>
    <w:div w:id="1990817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8AA41292-1F9D-45BD-A99C-321A72C5B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1073</Words>
  <Characters>6120</Characters>
  <Application>Microsoft Office Word</Application>
  <DocSecurity>0</DocSecurity>
  <Lines>51</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Emory University</Company>
  <LinksUpToDate>false</LinksUpToDate>
  <CharactersWithSpaces>7179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Jose Montiel Cuatlayol</dc:creator>
  <cp:lastModifiedBy>Laura Neuman</cp:lastModifiedBy>
  <cp:revision>39</cp:revision>
  <dcterms:created xsi:type="dcterms:W3CDTF">2015-12-14T16:22:00Z</dcterms:created>
  <dcterms:modified xsi:type="dcterms:W3CDTF">2015-12-14T17:35:00Z</dcterms:modified>
</cp:coreProperties>
</file>